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E034" w14:textId="77777777" w:rsidR="00E36822" w:rsidRPr="00FA77B8" w:rsidRDefault="00E36822" w:rsidP="00E36822">
      <w:pPr>
        <w:rPr>
          <w:rFonts w:ascii="Arial" w:hAnsi="Arial" w:cs="Arial"/>
          <w:b/>
          <w:bCs/>
          <w:sz w:val="28"/>
          <w:szCs w:val="28"/>
        </w:rPr>
      </w:pPr>
      <w:r w:rsidRPr="00FA77B8">
        <w:rPr>
          <w:rFonts w:ascii="Arial" w:hAnsi="Arial" w:cs="Arial"/>
          <w:b/>
          <w:bCs/>
          <w:sz w:val="28"/>
          <w:szCs w:val="28"/>
        </w:rPr>
        <w:t xml:space="preserve">Getting started with your Relationships </w:t>
      </w:r>
      <w:r>
        <w:rPr>
          <w:rFonts w:ascii="Arial" w:hAnsi="Arial" w:cs="Arial"/>
          <w:b/>
          <w:bCs/>
          <w:sz w:val="28"/>
          <w:szCs w:val="28"/>
        </w:rPr>
        <w:t xml:space="preserve">and Sex </w:t>
      </w:r>
      <w:r w:rsidRPr="00FA77B8">
        <w:rPr>
          <w:rFonts w:ascii="Arial" w:hAnsi="Arial" w:cs="Arial"/>
          <w:b/>
          <w:bCs/>
          <w:sz w:val="28"/>
          <w:szCs w:val="28"/>
        </w:rPr>
        <w:t xml:space="preserve">Education policy </w:t>
      </w:r>
    </w:p>
    <w:p w14:paraId="7B9A10B7" w14:textId="77777777" w:rsidR="00E36822" w:rsidRDefault="00E36822" w:rsidP="00E36822">
      <w:pPr>
        <w:rPr>
          <w:rFonts w:ascii="Arial" w:hAnsi="Arial" w:cs="Arial"/>
        </w:rPr>
      </w:pPr>
    </w:p>
    <w:p w14:paraId="608036E9" w14:textId="77777777" w:rsidR="00E36822" w:rsidRPr="00CE0FF0" w:rsidRDefault="00E36822" w:rsidP="00E36822">
      <w:pPr>
        <w:rPr>
          <w:rFonts w:ascii="Arial" w:hAnsi="Arial" w:cs="Arial"/>
          <w:i/>
          <w:iCs/>
        </w:rPr>
      </w:pPr>
      <w:r w:rsidRPr="00CE0FF0">
        <w:rPr>
          <w:rFonts w:ascii="Arial" w:hAnsi="Arial" w:cs="Arial"/>
          <w:i/>
          <w:iCs/>
        </w:rPr>
        <w:t xml:space="preserve">This template should be used in conjunction with the </w:t>
      </w:r>
      <w:hyperlink r:id="rId7" w:history="1">
        <w:r w:rsidRPr="00CE0FF0">
          <w:rPr>
            <w:rStyle w:val="Hyperlink"/>
            <w:rFonts w:ascii="Arial" w:hAnsi="Arial" w:cs="Arial"/>
            <w:i/>
            <w:iCs/>
          </w:rPr>
          <w:t>statutory guidance on Relationships Education, Relationships and Sex Education (RSE) and Health Education</w:t>
        </w:r>
      </w:hyperlink>
      <w:r w:rsidRPr="00CE0FF0">
        <w:rPr>
          <w:rFonts w:ascii="Arial" w:hAnsi="Arial" w:cs="Arial"/>
          <w:i/>
          <w:iCs/>
        </w:rPr>
        <w:t xml:space="preserve"> and the </w:t>
      </w:r>
      <w:hyperlink r:id="rId8" w:history="1">
        <w:r w:rsidRPr="00CE0FF0">
          <w:rPr>
            <w:rStyle w:val="Hyperlink"/>
            <w:rFonts w:ascii="Arial" w:hAnsi="Arial" w:cs="Arial"/>
            <w:i/>
            <w:iCs/>
          </w:rPr>
          <w:t>Sex Education Forum policy guidance</w:t>
        </w:r>
      </w:hyperlink>
      <w:r w:rsidRPr="00CE0FF0">
        <w:rPr>
          <w:rFonts w:ascii="Arial" w:hAnsi="Arial" w:cs="Arial"/>
          <w:i/>
          <w:iCs/>
        </w:rPr>
        <w:t xml:space="preserve">. </w:t>
      </w:r>
    </w:p>
    <w:p w14:paraId="31C7815B" w14:textId="77777777" w:rsidR="00E36822" w:rsidRDefault="00E36822" w:rsidP="00E36822">
      <w:pPr>
        <w:rPr>
          <w:rFonts w:ascii="Arial" w:hAnsi="Arial" w:cs="Arial"/>
          <w:b/>
          <w:bCs/>
        </w:rPr>
      </w:pPr>
    </w:p>
    <w:p w14:paraId="4DBA4B70" w14:textId="77777777" w:rsidR="00E36822" w:rsidRPr="00116403" w:rsidRDefault="00E36822" w:rsidP="00E36822">
      <w:pPr>
        <w:rPr>
          <w:rFonts w:ascii="Arial" w:hAnsi="Arial" w:cs="Arial"/>
        </w:rPr>
      </w:pPr>
      <w:r>
        <w:rPr>
          <w:rFonts w:ascii="Arial" w:hAnsi="Arial" w:cs="Arial"/>
          <w:b/>
          <w:bCs/>
        </w:rPr>
        <w:t xml:space="preserve">Name of school: </w:t>
      </w:r>
      <w:r w:rsidRPr="00116403">
        <w:rPr>
          <w:rFonts w:ascii="Arial" w:hAnsi="Arial" w:cs="Arial"/>
          <w:highlight w:val="yellow"/>
        </w:rPr>
        <w:t>[…]</w:t>
      </w:r>
    </w:p>
    <w:p w14:paraId="7EECD72F" w14:textId="77777777" w:rsidR="00E36822" w:rsidRDefault="00E36822" w:rsidP="00E36822">
      <w:pPr>
        <w:rPr>
          <w:rFonts w:ascii="Arial" w:hAnsi="Arial" w:cs="Arial"/>
        </w:rPr>
      </w:pPr>
      <w:r w:rsidRPr="00C8319C">
        <w:rPr>
          <w:rFonts w:ascii="Arial" w:hAnsi="Arial" w:cs="Arial"/>
          <w:b/>
          <w:bCs/>
        </w:rPr>
        <w:t>Who this policy has been approved by:</w:t>
      </w:r>
      <w:r>
        <w:rPr>
          <w:rFonts w:ascii="Arial" w:hAnsi="Arial" w:cs="Arial"/>
          <w:b/>
          <w:bCs/>
        </w:rPr>
        <w:t xml:space="preserve"> </w:t>
      </w:r>
      <w:r w:rsidRPr="003A6C73">
        <w:rPr>
          <w:rFonts w:ascii="Arial" w:hAnsi="Arial" w:cs="Arial"/>
          <w:highlight w:val="yellow"/>
        </w:rPr>
        <w:t>[…]</w:t>
      </w:r>
    </w:p>
    <w:p w14:paraId="5F081B8F" w14:textId="77777777" w:rsidR="00E36822" w:rsidRPr="00C8319C" w:rsidRDefault="00E36822" w:rsidP="00E36822">
      <w:pPr>
        <w:rPr>
          <w:rFonts w:ascii="Arial" w:hAnsi="Arial" w:cs="Arial"/>
          <w:b/>
          <w:bCs/>
        </w:rPr>
      </w:pPr>
      <w:r w:rsidRPr="00C8319C">
        <w:rPr>
          <w:rFonts w:ascii="Arial" w:hAnsi="Arial" w:cs="Arial"/>
          <w:b/>
          <w:bCs/>
        </w:rPr>
        <w:t>Date</w:t>
      </w:r>
      <w:r>
        <w:rPr>
          <w:rFonts w:ascii="Arial" w:hAnsi="Arial" w:cs="Arial"/>
          <w:b/>
          <w:bCs/>
        </w:rPr>
        <w:t xml:space="preserve"> of approval</w:t>
      </w:r>
      <w:r w:rsidRPr="00C8319C">
        <w:rPr>
          <w:rFonts w:ascii="Arial" w:hAnsi="Arial" w:cs="Arial"/>
          <w:b/>
          <w:bCs/>
        </w:rPr>
        <w:t>:</w:t>
      </w:r>
      <w:r>
        <w:rPr>
          <w:rFonts w:ascii="Arial" w:hAnsi="Arial" w:cs="Arial"/>
          <w:b/>
          <w:bCs/>
        </w:rPr>
        <w:t xml:space="preserve"> </w:t>
      </w:r>
      <w:r w:rsidRPr="003A6C73">
        <w:rPr>
          <w:rFonts w:ascii="Arial" w:hAnsi="Arial" w:cs="Arial"/>
          <w:highlight w:val="yellow"/>
        </w:rPr>
        <w:t>[…]</w:t>
      </w:r>
    </w:p>
    <w:p w14:paraId="551635F5" w14:textId="77777777" w:rsidR="00E36822" w:rsidRPr="003A6C73" w:rsidRDefault="00E36822" w:rsidP="00E36822">
      <w:pPr>
        <w:rPr>
          <w:rFonts w:ascii="Arial" w:hAnsi="Arial" w:cs="Arial"/>
        </w:rPr>
      </w:pPr>
      <w:r w:rsidRPr="00007B10">
        <w:rPr>
          <w:rFonts w:ascii="Arial" w:hAnsi="Arial" w:cs="Arial"/>
          <w:b/>
          <w:bCs/>
        </w:rPr>
        <w:t>Review date:</w:t>
      </w:r>
      <w:r>
        <w:rPr>
          <w:rFonts w:ascii="Arial" w:hAnsi="Arial" w:cs="Arial"/>
        </w:rPr>
        <w:t xml:space="preserve"> </w:t>
      </w:r>
      <w:r w:rsidRPr="00007B10">
        <w:rPr>
          <w:rFonts w:ascii="Arial" w:hAnsi="Arial" w:cs="Arial"/>
          <w:highlight w:val="yellow"/>
        </w:rPr>
        <w:t>[…]</w:t>
      </w:r>
    </w:p>
    <w:p w14:paraId="5020DF41" w14:textId="77777777" w:rsidR="00E36822" w:rsidRDefault="00E36822" w:rsidP="00E36822">
      <w:pPr>
        <w:rPr>
          <w:rFonts w:ascii="Arial" w:hAnsi="Arial" w:cs="Arial"/>
          <w:b/>
          <w:bCs/>
        </w:rPr>
      </w:pPr>
    </w:p>
    <w:p w14:paraId="1821A5FE" w14:textId="77777777" w:rsidR="00E36822" w:rsidRPr="00CE0FF0" w:rsidRDefault="00E36822" w:rsidP="00E36822">
      <w:pPr>
        <w:rPr>
          <w:rFonts w:ascii="Arial" w:hAnsi="Arial" w:cs="Arial"/>
          <w:b/>
          <w:bCs/>
        </w:rPr>
      </w:pPr>
      <w:r>
        <w:rPr>
          <w:rFonts w:ascii="Arial" w:hAnsi="Arial" w:cs="Arial"/>
          <w:b/>
          <w:bCs/>
        </w:rPr>
        <w:t xml:space="preserve">1. </w:t>
      </w:r>
      <w:r w:rsidRPr="00CE0FF0">
        <w:rPr>
          <w:rFonts w:ascii="Arial" w:hAnsi="Arial" w:cs="Arial"/>
          <w:b/>
          <w:bCs/>
        </w:rPr>
        <w:t xml:space="preserve">Defining Relationships </w:t>
      </w:r>
      <w:r>
        <w:rPr>
          <w:rFonts w:ascii="Arial" w:hAnsi="Arial" w:cs="Arial"/>
          <w:b/>
          <w:bCs/>
        </w:rPr>
        <w:t xml:space="preserve">and Sex </w:t>
      </w:r>
      <w:r w:rsidRPr="00CE0FF0">
        <w:rPr>
          <w:rFonts w:ascii="Arial" w:hAnsi="Arial" w:cs="Arial"/>
          <w:b/>
          <w:bCs/>
        </w:rPr>
        <w:t>Education</w:t>
      </w:r>
      <w:r>
        <w:rPr>
          <w:rFonts w:ascii="Arial" w:hAnsi="Arial" w:cs="Arial"/>
          <w:b/>
          <w:bCs/>
        </w:rPr>
        <w:t xml:space="preserve"> (RSE)</w:t>
      </w:r>
    </w:p>
    <w:p w14:paraId="5DE9D1E5" w14:textId="77777777" w:rsidR="00E36822" w:rsidRDefault="00E36822" w:rsidP="00E36822">
      <w:pPr>
        <w:rPr>
          <w:rFonts w:ascii="Arial" w:hAnsi="Arial" w:cs="Arial"/>
        </w:rPr>
      </w:pPr>
      <w:r>
        <w:rPr>
          <w:rFonts w:ascii="Arial" w:hAnsi="Arial" w:cs="Arial"/>
        </w:rPr>
        <w:t xml:space="preserve">RSE in secondary school gives young people the information they need to help them develop healthy, nurturing relationships of all kinds, not just intimate relationships. It enables young people to know what a healthy relationship looks like and what makes a good friend, a good colleague and a successful marriage or other type of committed relationship. RSE covers contraception, developing intimate relationships and resisting pressure to have sex (and not applying pressure). It teaches what is acceptable and unacceptable behaviour in relationships. This will help pupils to understand the positive effects that good relationships have on their mental wellbeing, identify when relationships are not right and understand how such situations can be managed.  </w:t>
      </w:r>
    </w:p>
    <w:p w14:paraId="6E26291D" w14:textId="60E5940A" w:rsidR="00E36822" w:rsidRDefault="00E36822" w:rsidP="00E36822">
      <w:pPr>
        <w:rPr>
          <w:rFonts w:ascii="Arial" w:hAnsi="Arial" w:cs="Arial"/>
        </w:rPr>
      </w:pPr>
      <w:r>
        <w:rPr>
          <w:rFonts w:ascii="Arial" w:hAnsi="Arial" w:cs="Arial"/>
        </w:rPr>
        <w:t>RSE is an integral element of a broader personal, social, health and economic (PSHE) education programme.</w:t>
      </w:r>
    </w:p>
    <w:p w14:paraId="626D2530" w14:textId="22D3112F" w:rsidR="009D45C5" w:rsidRDefault="009D45C5" w:rsidP="00E36822">
      <w:pPr>
        <w:rPr>
          <w:rFonts w:ascii="Arial" w:hAnsi="Arial" w:cs="Arial"/>
        </w:rPr>
      </w:pPr>
      <w:r>
        <w:rPr>
          <w:rFonts w:ascii="Arial" w:hAnsi="Arial" w:cs="Arial"/>
        </w:rPr>
        <w:t xml:space="preserve">It is compulsory for secondary schools to teach Relationships and Sex Education from September 2020. </w:t>
      </w:r>
    </w:p>
    <w:p w14:paraId="49041F17" w14:textId="77777777" w:rsidR="00E36822" w:rsidRDefault="00E36822" w:rsidP="00E36822">
      <w:pPr>
        <w:rPr>
          <w:rFonts w:ascii="Arial" w:hAnsi="Arial" w:cs="Arial"/>
        </w:rPr>
      </w:pPr>
    </w:p>
    <w:p w14:paraId="3E29A260" w14:textId="77777777" w:rsidR="00E36822" w:rsidRPr="00CE0FF0" w:rsidRDefault="00E36822" w:rsidP="00E36822">
      <w:pPr>
        <w:rPr>
          <w:rFonts w:ascii="Arial" w:hAnsi="Arial" w:cs="Arial"/>
          <w:b/>
          <w:bCs/>
        </w:rPr>
      </w:pPr>
      <w:r>
        <w:rPr>
          <w:rFonts w:ascii="Arial" w:hAnsi="Arial" w:cs="Arial"/>
          <w:b/>
          <w:bCs/>
        </w:rPr>
        <w:t xml:space="preserve">2. Aims of RSE </w:t>
      </w:r>
    </w:p>
    <w:p w14:paraId="5E4721BA" w14:textId="77777777" w:rsidR="00E36822" w:rsidRDefault="00E36822" w:rsidP="00E36822">
      <w:pPr>
        <w:rPr>
          <w:rFonts w:ascii="Arial" w:hAnsi="Arial" w:cs="Arial"/>
        </w:rPr>
      </w:pPr>
      <w:r w:rsidRPr="002A14AA">
        <w:rPr>
          <w:rFonts w:ascii="Arial" w:hAnsi="Arial" w:cs="Arial"/>
        </w:rPr>
        <w:t xml:space="preserve">Through teaching </w:t>
      </w:r>
      <w:r>
        <w:rPr>
          <w:rFonts w:ascii="Arial" w:hAnsi="Arial" w:cs="Arial"/>
        </w:rPr>
        <w:t>RSE</w:t>
      </w:r>
      <w:r w:rsidRPr="002A14AA">
        <w:rPr>
          <w:rFonts w:ascii="Arial" w:hAnsi="Arial" w:cs="Arial"/>
        </w:rPr>
        <w:t>, we aim to</w:t>
      </w:r>
      <w:r>
        <w:rPr>
          <w:rFonts w:ascii="Arial" w:hAnsi="Arial" w:cs="Arial"/>
        </w:rPr>
        <w:t xml:space="preserve"> equip children with the information, skills and values to have safe, fulfilling relationships, and to take responsibility for their sexual health and wellbeing. Quality RSE promotes the core values of respect, love and care. It also provides the opportunity for young people to reflect on their own attitudes and beliefs and those of their peers and others. </w:t>
      </w:r>
    </w:p>
    <w:p w14:paraId="69E5C924" w14:textId="77777777" w:rsidR="00E36822" w:rsidRDefault="00E36822" w:rsidP="00E36822">
      <w:pPr>
        <w:rPr>
          <w:rFonts w:ascii="Arial" w:hAnsi="Arial" w:cs="Arial"/>
        </w:rPr>
      </w:pPr>
      <w:r>
        <w:rPr>
          <w:rFonts w:ascii="Arial" w:hAnsi="Arial" w:cs="Arial"/>
        </w:rPr>
        <w:t>It aims to teach young people about:</w:t>
      </w:r>
    </w:p>
    <w:p w14:paraId="2F624B7C" w14:textId="77777777" w:rsidR="00E36822" w:rsidRDefault="00E36822" w:rsidP="00E36822">
      <w:pPr>
        <w:pStyle w:val="ListParagraph"/>
        <w:numPr>
          <w:ilvl w:val="0"/>
          <w:numId w:val="4"/>
        </w:numPr>
        <w:rPr>
          <w:rFonts w:ascii="Arial" w:hAnsi="Arial" w:cs="Arial"/>
        </w:rPr>
      </w:pPr>
      <w:r>
        <w:rPr>
          <w:rFonts w:ascii="Arial" w:hAnsi="Arial" w:cs="Arial"/>
        </w:rPr>
        <w:t xml:space="preserve">Families </w:t>
      </w:r>
    </w:p>
    <w:p w14:paraId="68F6B2FB" w14:textId="77777777" w:rsidR="00E36822" w:rsidRDefault="00E36822" w:rsidP="00E36822">
      <w:pPr>
        <w:pStyle w:val="ListParagraph"/>
        <w:numPr>
          <w:ilvl w:val="0"/>
          <w:numId w:val="4"/>
        </w:numPr>
        <w:rPr>
          <w:rFonts w:ascii="Arial" w:hAnsi="Arial" w:cs="Arial"/>
        </w:rPr>
      </w:pPr>
      <w:r>
        <w:rPr>
          <w:rFonts w:ascii="Arial" w:hAnsi="Arial" w:cs="Arial"/>
        </w:rPr>
        <w:t>Respectful relationships, including friendships</w:t>
      </w:r>
    </w:p>
    <w:p w14:paraId="5B3D2657" w14:textId="77777777" w:rsidR="00E36822" w:rsidRDefault="00E36822" w:rsidP="00E36822">
      <w:pPr>
        <w:pStyle w:val="ListParagraph"/>
        <w:numPr>
          <w:ilvl w:val="0"/>
          <w:numId w:val="4"/>
        </w:numPr>
        <w:rPr>
          <w:rFonts w:ascii="Arial" w:hAnsi="Arial" w:cs="Arial"/>
        </w:rPr>
      </w:pPr>
      <w:r>
        <w:rPr>
          <w:rFonts w:ascii="Arial" w:hAnsi="Arial" w:cs="Arial"/>
        </w:rPr>
        <w:t>Online and media</w:t>
      </w:r>
    </w:p>
    <w:p w14:paraId="53F4CBAB" w14:textId="77777777" w:rsidR="00E36822" w:rsidRDefault="00E36822" w:rsidP="00E36822">
      <w:pPr>
        <w:pStyle w:val="ListParagraph"/>
        <w:numPr>
          <w:ilvl w:val="0"/>
          <w:numId w:val="4"/>
        </w:numPr>
        <w:rPr>
          <w:rFonts w:ascii="Arial" w:hAnsi="Arial" w:cs="Arial"/>
        </w:rPr>
      </w:pPr>
      <w:r>
        <w:rPr>
          <w:rFonts w:ascii="Arial" w:hAnsi="Arial" w:cs="Arial"/>
        </w:rPr>
        <w:t>Being safe</w:t>
      </w:r>
    </w:p>
    <w:p w14:paraId="713646D2" w14:textId="77777777" w:rsidR="00E36822" w:rsidRDefault="00E36822" w:rsidP="00E36822">
      <w:pPr>
        <w:pStyle w:val="ListParagraph"/>
        <w:numPr>
          <w:ilvl w:val="0"/>
          <w:numId w:val="4"/>
        </w:numPr>
        <w:rPr>
          <w:rFonts w:ascii="Arial" w:hAnsi="Arial" w:cs="Arial"/>
        </w:rPr>
      </w:pPr>
      <w:r>
        <w:rPr>
          <w:rFonts w:ascii="Arial" w:hAnsi="Arial" w:cs="Arial"/>
        </w:rPr>
        <w:t>Intimate sexual relationships, including sexual health</w:t>
      </w:r>
    </w:p>
    <w:p w14:paraId="4A47CF1D" w14:textId="77777777" w:rsidR="00E36822" w:rsidRPr="003D485E" w:rsidRDefault="00E36822" w:rsidP="00E36822">
      <w:pPr>
        <w:rPr>
          <w:rFonts w:ascii="Arial" w:hAnsi="Arial" w:cs="Arial"/>
        </w:rPr>
      </w:pPr>
      <w:r w:rsidRPr="003D485E">
        <w:rPr>
          <w:rFonts w:ascii="Arial" w:hAnsi="Arial" w:cs="Arial"/>
        </w:rPr>
        <w:t xml:space="preserve">This is consistent with our values and ethos as a school </w:t>
      </w:r>
      <w:r w:rsidRPr="003D485E">
        <w:rPr>
          <w:rFonts w:ascii="Arial" w:hAnsi="Arial" w:cs="Arial"/>
          <w:highlight w:val="yellow"/>
        </w:rPr>
        <w:t>[which are…]</w:t>
      </w:r>
    </w:p>
    <w:p w14:paraId="40C5D6B0" w14:textId="77777777" w:rsidR="00E36822" w:rsidRDefault="00E36822" w:rsidP="00E36822">
      <w:pPr>
        <w:rPr>
          <w:rFonts w:ascii="Arial" w:hAnsi="Arial" w:cs="Arial"/>
        </w:rPr>
      </w:pPr>
      <w:r>
        <w:rPr>
          <w:rFonts w:ascii="Arial" w:hAnsi="Arial" w:cs="Arial"/>
          <w:b/>
          <w:bCs/>
        </w:rPr>
        <w:lastRenderedPageBreak/>
        <w:t xml:space="preserve">3. </w:t>
      </w:r>
      <w:r w:rsidRPr="00E0463A">
        <w:rPr>
          <w:rFonts w:ascii="Arial" w:hAnsi="Arial" w:cs="Arial"/>
          <w:b/>
          <w:bCs/>
        </w:rPr>
        <w:t xml:space="preserve">Teaching </w:t>
      </w:r>
      <w:r>
        <w:rPr>
          <w:rFonts w:ascii="Arial" w:hAnsi="Arial" w:cs="Arial"/>
          <w:b/>
          <w:bCs/>
        </w:rPr>
        <w:t>RSE</w:t>
      </w:r>
    </w:p>
    <w:p w14:paraId="00CA02A5" w14:textId="77777777" w:rsidR="00E36822" w:rsidRPr="00CD6CC9" w:rsidRDefault="00E36822" w:rsidP="00E36822">
      <w:pPr>
        <w:rPr>
          <w:rFonts w:ascii="Arial" w:hAnsi="Arial" w:cs="Arial"/>
        </w:rPr>
      </w:pPr>
      <w:r>
        <w:rPr>
          <w:rFonts w:ascii="Arial" w:hAnsi="Arial" w:cs="Arial"/>
        </w:rPr>
        <w:t>In line with the government’s statutory guidance on teaching RSE, we teach the following:</w:t>
      </w:r>
    </w:p>
    <w:tbl>
      <w:tblPr>
        <w:tblStyle w:val="TableGrid"/>
        <w:tblW w:w="0" w:type="auto"/>
        <w:tblLook w:val="04A0" w:firstRow="1" w:lastRow="0" w:firstColumn="1" w:lastColumn="0" w:noHBand="0" w:noVBand="1"/>
      </w:tblPr>
      <w:tblGrid>
        <w:gridCol w:w="3005"/>
        <w:gridCol w:w="3005"/>
        <w:gridCol w:w="3006"/>
      </w:tblGrid>
      <w:tr w:rsidR="00E36822" w14:paraId="4F1A71E1" w14:textId="77777777" w:rsidTr="008D2AB1">
        <w:tc>
          <w:tcPr>
            <w:tcW w:w="3005" w:type="dxa"/>
          </w:tcPr>
          <w:p w14:paraId="60D42C36" w14:textId="77777777" w:rsidR="00E36822" w:rsidRPr="00CD6CC9" w:rsidRDefault="00E36822" w:rsidP="008D2AB1">
            <w:pPr>
              <w:rPr>
                <w:rFonts w:ascii="Arial" w:hAnsi="Arial" w:cs="Arial"/>
                <w:b/>
                <w:bCs/>
                <w:highlight w:val="yellow"/>
              </w:rPr>
            </w:pPr>
            <w:r w:rsidRPr="00CD6CC9">
              <w:rPr>
                <w:rFonts w:ascii="Arial" w:hAnsi="Arial" w:cs="Arial"/>
                <w:b/>
                <w:bCs/>
                <w:highlight w:val="yellow"/>
              </w:rPr>
              <w:t>Subject content</w:t>
            </w:r>
          </w:p>
        </w:tc>
        <w:tc>
          <w:tcPr>
            <w:tcW w:w="3005" w:type="dxa"/>
          </w:tcPr>
          <w:p w14:paraId="46B0FD44" w14:textId="77777777" w:rsidR="00E36822" w:rsidRPr="00CD6CC9" w:rsidRDefault="00E36822" w:rsidP="008D2AB1">
            <w:pPr>
              <w:rPr>
                <w:rFonts w:ascii="Arial" w:hAnsi="Arial" w:cs="Arial"/>
                <w:b/>
                <w:bCs/>
                <w:highlight w:val="yellow"/>
              </w:rPr>
            </w:pPr>
            <w:r w:rsidRPr="00CD6CC9">
              <w:rPr>
                <w:rFonts w:ascii="Arial" w:hAnsi="Arial" w:cs="Arial"/>
                <w:b/>
                <w:bCs/>
                <w:highlight w:val="yellow"/>
              </w:rPr>
              <w:t>How and when this is taught</w:t>
            </w:r>
          </w:p>
        </w:tc>
        <w:tc>
          <w:tcPr>
            <w:tcW w:w="3006" w:type="dxa"/>
          </w:tcPr>
          <w:p w14:paraId="0EF1035B" w14:textId="77777777" w:rsidR="00E36822" w:rsidRPr="00CD6CC9" w:rsidRDefault="00E36822" w:rsidP="008D2AB1">
            <w:pPr>
              <w:rPr>
                <w:rFonts w:ascii="Arial" w:hAnsi="Arial" w:cs="Arial"/>
                <w:b/>
                <w:bCs/>
                <w:highlight w:val="yellow"/>
              </w:rPr>
            </w:pPr>
            <w:r w:rsidRPr="00CD6CC9">
              <w:rPr>
                <w:rFonts w:ascii="Arial" w:hAnsi="Arial" w:cs="Arial"/>
                <w:b/>
                <w:bCs/>
                <w:highlight w:val="yellow"/>
              </w:rPr>
              <w:t>Who is responsible for teaching</w:t>
            </w:r>
          </w:p>
        </w:tc>
      </w:tr>
      <w:tr w:rsidR="00E36822" w14:paraId="250AA5F3" w14:textId="77777777" w:rsidTr="008D2AB1">
        <w:tc>
          <w:tcPr>
            <w:tcW w:w="3005" w:type="dxa"/>
          </w:tcPr>
          <w:p w14:paraId="448FAAF1" w14:textId="77777777" w:rsidR="00E36822" w:rsidRPr="00E0463A" w:rsidRDefault="00E36822" w:rsidP="008D2AB1">
            <w:pPr>
              <w:rPr>
                <w:rFonts w:ascii="Arial" w:hAnsi="Arial" w:cs="Arial"/>
                <w:highlight w:val="yellow"/>
              </w:rPr>
            </w:pPr>
          </w:p>
        </w:tc>
        <w:tc>
          <w:tcPr>
            <w:tcW w:w="3005" w:type="dxa"/>
          </w:tcPr>
          <w:p w14:paraId="569DB019" w14:textId="77777777" w:rsidR="00E36822" w:rsidRPr="00E0463A" w:rsidRDefault="00E36822" w:rsidP="008D2AB1">
            <w:pPr>
              <w:rPr>
                <w:rFonts w:ascii="Arial" w:hAnsi="Arial" w:cs="Arial"/>
                <w:highlight w:val="yellow"/>
              </w:rPr>
            </w:pPr>
          </w:p>
        </w:tc>
        <w:tc>
          <w:tcPr>
            <w:tcW w:w="3006" w:type="dxa"/>
          </w:tcPr>
          <w:p w14:paraId="7A799308" w14:textId="77777777" w:rsidR="00E36822" w:rsidRPr="00E0463A" w:rsidRDefault="00E36822" w:rsidP="008D2AB1">
            <w:pPr>
              <w:rPr>
                <w:rFonts w:ascii="Arial" w:hAnsi="Arial" w:cs="Arial"/>
                <w:highlight w:val="yellow"/>
              </w:rPr>
            </w:pPr>
          </w:p>
        </w:tc>
      </w:tr>
      <w:tr w:rsidR="00E36822" w14:paraId="2E0EA010" w14:textId="77777777" w:rsidTr="008D2AB1">
        <w:tc>
          <w:tcPr>
            <w:tcW w:w="3005" w:type="dxa"/>
          </w:tcPr>
          <w:p w14:paraId="248D217D" w14:textId="77777777" w:rsidR="00E36822" w:rsidRPr="00E0463A" w:rsidRDefault="00E36822" w:rsidP="008D2AB1">
            <w:pPr>
              <w:rPr>
                <w:rFonts w:ascii="Arial" w:hAnsi="Arial" w:cs="Arial"/>
                <w:highlight w:val="yellow"/>
              </w:rPr>
            </w:pPr>
          </w:p>
        </w:tc>
        <w:tc>
          <w:tcPr>
            <w:tcW w:w="3005" w:type="dxa"/>
          </w:tcPr>
          <w:p w14:paraId="554A7374" w14:textId="77777777" w:rsidR="00E36822" w:rsidRPr="00E0463A" w:rsidRDefault="00E36822" w:rsidP="008D2AB1">
            <w:pPr>
              <w:rPr>
                <w:rFonts w:ascii="Arial" w:hAnsi="Arial" w:cs="Arial"/>
                <w:highlight w:val="yellow"/>
              </w:rPr>
            </w:pPr>
          </w:p>
        </w:tc>
        <w:tc>
          <w:tcPr>
            <w:tcW w:w="3006" w:type="dxa"/>
          </w:tcPr>
          <w:p w14:paraId="243C0814" w14:textId="77777777" w:rsidR="00E36822" w:rsidRPr="00E0463A" w:rsidRDefault="00E36822" w:rsidP="008D2AB1">
            <w:pPr>
              <w:rPr>
                <w:rFonts w:ascii="Arial" w:hAnsi="Arial" w:cs="Arial"/>
                <w:highlight w:val="yellow"/>
              </w:rPr>
            </w:pPr>
          </w:p>
        </w:tc>
      </w:tr>
      <w:tr w:rsidR="00E36822" w14:paraId="77DEE801" w14:textId="77777777" w:rsidTr="008D2AB1">
        <w:tc>
          <w:tcPr>
            <w:tcW w:w="3005" w:type="dxa"/>
          </w:tcPr>
          <w:p w14:paraId="021F5384" w14:textId="77777777" w:rsidR="00E36822" w:rsidRPr="00E0463A" w:rsidRDefault="00E36822" w:rsidP="008D2AB1">
            <w:pPr>
              <w:rPr>
                <w:rFonts w:ascii="Arial" w:hAnsi="Arial" w:cs="Arial"/>
                <w:highlight w:val="yellow"/>
              </w:rPr>
            </w:pPr>
          </w:p>
        </w:tc>
        <w:tc>
          <w:tcPr>
            <w:tcW w:w="3005" w:type="dxa"/>
          </w:tcPr>
          <w:p w14:paraId="06D3B04B" w14:textId="77777777" w:rsidR="00E36822" w:rsidRPr="00E0463A" w:rsidRDefault="00E36822" w:rsidP="008D2AB1">
            <w:pPr>
              <w:rPr>
                <w:rFonts w:ascii="Arial" w:hAnsi="Arial" w:cs="Arial"/>
                <w:highlight w:val="yellow"/>
              </w:rPr>
            </w:pPr>
          </w:p>
        </w:tc>
        <w:tc>
          <w:tcPr>
            <w:tcW w:w="3006" w:type="dxa"/>
          </w:tcPr>
          <w:p w14:paraId="021EEFB7" w14:textId="77777777" w:rsidR="00E36822" w:rsidRPr="00E0463A" w:rsidRDefault="00E36822" w:rsidP="008D2AB1">
            <w:pPr>
              <w:rPr>
                <w:rFonts w:ascii="Arial" w:hAnsi="Arial" w:cs="Arial"/>
                <w:highlight w:val="yellow"/>
              </w:rPr>
            </w:pPr>
          </w:p>
        </w:tc>
      </w:tr>
      <w:tr w:rsidR="00E36822" w14:paraId="25E41698" w14:textId="77777777" w:rsidTr="008D2AB1">
        <w:tc>
          <w:tcPr>
            <w:tcW w:w="3005" w:type="dxa"/>
          </w:tcPr>
          <w:p w14:paraId="3D776994" w14:textId="77777777" w:rsidR="00E36822" w:rsidRPr="00E0463A" w:rsidRDefault="00E36822" w:rsidP="008D2AB1">
            <w:pPr>
              <w:rPr>
                <w:rFonts w:ascii="Arial" w:hAnsi="Arial" w:cs="Arial"/>
                <w:highlight w:val="yellow"/>
              </w:rPr>
            </w:pPr>
          </w:p>
        </w:tc>
        <w:tc>
          <w:tcPr>
            <w:tcW w:w="3005" w:type="dxa"/>
          </w:tcPr>
          <w:p w14:paraId="291A15FA" w14:textId="77777777" w:rsidR="00E36822" w:rsidRPr="00E0463A" w:rsidRDefault="00E36822" w:rsidP="008D2AB1">
            <w:pPr>
              <w:rPr>
                <w:rFonts w:ascii="Arial" w:hAnsi="Arial" w:cs="Arial"/>
                <w:highlight w:val="yellow"/>
              </w:rPr>
            </w:pPr>
          </w:p>
        </w:tc>
        <w:tc>
          <w:tcPr>
            <w:tcW w:w="3006" w:type="dxa"/>
          </w:tcPr>
          <w:p w14:paraId="68C9EF09" w14:textId="77777777" w:rsidR="00E36822" w:rsidRPr="00E0463A" w:rsidRDefault="00E36822" w:rsidP="008D2AB1">
            <w:pPr>
              <w:rPr>
                <w:rFonts w:ascii="Arial" w:hAnsi="Arial" w:cs="Arial"/>
                <w:highlight w:val="yellow"/>
              </w:rPr>
            </w:pPr>
          </w:p>
        </w:tc>
      </w:tr>
      <w:tr w:rsidR="00E36822" w14:paraId="71ABA4BC" w14:textId="77777777" w:rsidTr="008D2AB1">
        <w:tc>
          <w:tcPr>
            <w:tcW w:w="3005" w:type="dxa"/>
          </w:tcPr>
          <w:p w14:paraId="3A439565" w14:textId="77777777" w:rsidR="00E36822" w:rsidRPr="00E0463A" w:rsidRDefault="00E36822" w:rsidP="008D2AB1">
            <w:pPr>
              <w:rPr>
                <w:rFonts w:ascii="Arial" w:hAnsi="Arial" w:cs="Arial"/>
                <w:highlight w:val="yellow"/>
              </w:rPr>
            </w:pPr>
          </w:p>
        </w:tc>
        <w:tc>
          <w:tcPr>
            <w:tcW w:w="3005" w:type="dxa"/>
          </w:tcPr>
          <w:p w14:paraId="4DC704CE" w14:textId="77777777" w:rsidR="00E36822" w:rsidRPr="00E0463A" w:rsidRDefault="00E36822" w:rsidP="008D2AB1">
            <w:pPr>
              <w:rPr>
                <w:rFonts w:ascii="Arial" w:hAnsi="Arial" w:cs="Arial"/>
                <w:highlight w:val="yellow"/>
              </w:rPr>
            </w:pPr>
          </w:p>
        </w:tc>
        <w:tc>
          <w:tcPr>
            <w:tcW w:w="3006" w:type="dxa"/>
          </w:tcPr>
          <w:p w14:paraId="671026C1" w14:textId="77777777" w:rsidR="00E36822" w:rsidRPr="00E0463A" w:rsidRDefault="00E36822" w:rsidP="008D2AB1">
            <w:pPr>
              <w:rPr>
                <w:rFonts w:ascii="Arial" w:hAnsi="Arial" w:cs="Arial"/>
                <w:highlight w:val="yellow"/>
              </w:rPr>
            </w:pPr>
          </w:p>
        </w:tc>
      </w:tr>
      <w:tr w:rsidR="00E36822" w14:paraId="77B88B56" w14:textId="77777777" w:rsidTr="008D2AB1">
        <w:tc>
          <w:tcPr>
            <w:tcW w:w="3005" w:type="dxa"/>
          </w:tcPr>
          <w:p w14:paraId="60DBAC58" w14:textId="77777777" w:rsidR="00E36822" w:rsidRPr="00E0463A" w:rsidRDefault="00E36822" w:rsidP="008D2AB1">
            <w:pPr>
              <w:rPr>
                <w:rFonts w:ascii="Arial" w:hAnsi="Arial" w:cs="Arial"/>
                <w:highlight w:val="yellow"/>
              </w:rPr>
            </w:pPr>
          </w:p>
        </w:tc>
        <w:tc>
          <w:tcPr>
            <w:tcW w:w="3005" w:type="dxa"/>
          </w:tcPr>
          <w:p w14:paraId="666F831C" w14:textId="77777777" w:rsidR="00E36822" w:rsidRPr="00E0463A" w:rsidRDefault="00E36822" w:rsidP="008D2AB1">
            <w:pPr>
              <w:rPr>
                <w:rFonts w:ascii="Arial" w:hAnsi="Arial" w:cs="Arial"/>
                <w:highlight w:val="yellow"/>
              </w:rPr>
            </w:pPr>
          </w:p>
        </w:tc>
        <w:tc>
          <w:tcPr>
            <w:tcW w:w="3006" w:type="dxa"/>
          </w:tcPr>
          <w:p w14:paraId="5F05AC86" w14:textId="77777777" w:rsidR="00E36822" w:rsidRPr="00E0463A" w:rsidRDefault="00E36822" w:rsidP="008D2AB1">
            <w:pPr>
              <w:rPr>
                <w:rFonts w:ascii="Arial" w:hAnsi="Arial" w:cs="Arial"/>
                <w:highlight w:val="yellow"/>
              </w:rPr>
            </w:pPr>
          </w:p>
        </w:tc>
      </w:tr>
      <w:tr w:rsidR="00E36822" w14:paraId="731223C5" w14:textId="77777777" w:rsidTr="008D2AB1">
        <w:tc>
          <w:tcPr>
            <w:tcW w:w="3005" w:type="dxa"/>
          </w:tcPr>
          <w:p w14:paraId="7DC64957" w14:textId="77777777" w:rsidR="00E36822" w:rsidRPr="00E0463A" w:rsidRDefault="00E36822" w:rsidP="008D2AB1">
            <w:pPr>
              <w:rPr>
                <w:rFonts w:ascii="Arial" w:hAnsi="Arial" w:cs="Arial"/>
                <w:highlight w:val="yellow"/>
              </w:rPr>
            </w:pPr>
          </w:p>
        </w:tc>
        <w:tc>
          <w:tcPr>
            <w:tcW w:w="3005" w:type="dxa"/>
          </w:tcPr>
          <w:p w14:paraId="3AF88C69" w14:textId="77777777" w:rsidR="00E36822" w:rsidRPr="00E0463A" w:rsidRDefault="00E36822" w:rsidP="008D2AB1">
            <w:pPr>
              <w:rPr>
                <w:rFonts w:ascii="Arial" w:hAnsi="Arial" w:cs="Arial"/>
                <w:highlight w:val="yellow"/>
              </w:rPr>
            </w:pPr>
          </w:p>
        </w:tc>
        <w:tc>
          <w:tcPr>
            <w:tcW w:w="3006" w:type="dxa"/>
          </w:tcPr>
          <w:p w14:paraId="6C2F7115" w14:textId="77777777" w:rsidR="00E36822" w:rsidRPr="00E0463A" w:rsidRDefault="00E36822" w:rsidP="008D2AB1">
            <w:pPr>
              <w:rPr>
                <w:rFonts w:ascii="Arial" w:hAnsi="Arial" w:cs="Arial"/>
                <w:highlight w:val="yellow"/>
              </w:rPr>
            </w:pPr>
          </w:p>
        </w:tc>
      </w:tr>
    </w:tbl>
    <w:p w14:paraId="19F32133" w14:textId="77777777" w:rsidR="00E36822" w:rsidRDefault="00E36822" w:rsidP="00E36822"/>
    <w:p w14:paraId="1F4D52E8" w14:textId="77777777" w:rsidR="00E36822" w:rsidRPr="00CD6CC9" w:rsidRDefault="00E36822" w:rsidP="00E36822">
      <w:pPr>
        <w:rPr>
          <w:rFonts w:ascii="Arial" w:hAnsi="Arial" w:cs="Arial"/>
        </w:rPr>
      </w:pPr>
      <w:r w:rsidRPr="00CD6CC9">
        <w:rPr>
          <w:rFonts w:ascii="Arial" w:hAnsi="Arial" w:cs="Arial"/>
        </w:rPr>
        <w:t xml:space="preserve">We use the following resources to teach </w:t>
      </w:r>
      <w:r>
        <w:rPr>
          <w:rFonts w:ascii="Arial" w:hAnsi="Arial" w:cs="Arial"/>
        </w:rPr>
        <w:t>RSE</w:t>
      </w:r>
      <w:r w:rsidRPr="00CD6CC9">
        <w:rPr>
          <w:rFonts w:ascii="Arial" w:hAnsi="Arial" w:cs="Arial"/>
        </w:rPr>
        <w:t>:</w:t>
      </w:r>
    </w:p>
    <w:p w14:paraId="74725CA7" w14:textId="77777777" w:rsidR="00E36822" w:rsidRDefault="00E36822" w:rsidP="00E36822">
      <w:pPr>
        <w:pStyle w:val="ListParagraph"/>
        <w:numPr>
          <w:ilvl w:val="0"/>
          <w:numId w:val="1"/>
        </w:numPr>
        <w:rPr>
          <w:rFonts w:ascii="Arial" w:hAnsi="Arial" w:cs="Arial"/>
          <w:highlight w:val="yellow"/>
        </w:rPr>
      </w:pPr>
      <w:r w:rsidRPr="00CD6CC9">
        <w:rPr>
          <w:rFonts w:ascii="Arial" w:hAnsi="Arial" w:cs="Arial"/>
          <w:highlight w:val="yellow"/>
        </w:rPr>
        <w:t>[state what resources are used</w:t>
      </w:r>
      <w:r>
        <w:rPr>
          <w:rFonts w:ascii="Arial" w:hAnsi="Arial" w:cs="Arial"/>
          <w:highlight w:val="yellow"/>
        </w:rPr>
        <w:t>]</w:t>
      </w:r>
      <w:r w:rsidRPr="00CD6CC9">
        <w:rPr>
          <w:rFonts w:ascii="Arial" w:hAnsi="Arial" w:cs="Arial"/>
          <w:highlight w:val="yellow"/>
        </w:rPr>
        <w:t xml:space="preserve"> </w:t>
      </w:r>
    </w:p>
    <w:p w14:paraId="625972B8" w14:textId="77777777" w:rsidR="00E36822" w:rsidRPr="00CD6CC9" w:rsidRDefault="00E36822" w:rsidP="00E36822">
      <w:pPr>
        <w:pStyle w:val="ListParagraph"/>
        <w:numPr>
          <w:ilvl w:val="0"/>
          <w:numId w:val="1"/>
        </w:numPr>
        <w:rPr>
          <w:rFonts w:ascii="Arial" w:hAnsi="Arial" w:cs="Arial"/>
          <w:highlight w:val="yellow"/>
        </w:rPr>
      </w:pPr>
      <w:r>
        <w:rPr>
          <w:rFonts w:ascii="Arial" w:hAnsi="Arial" w:cs="Arial"/>
          <w:highlight w:val="yellow"/>
        </w:rPr>
        <w:t>[state w</w:t>
      </w:r>
      <w:r w:rsidRPr="00CD6CC9">
        <w:rPr>
          <w:rFonts w:ascii="Arial" w:hAnsi="Arial" w:cs="Arial"/>
          <w:highlight w:val="yellow"/>
        </w:rPr>
        <w:t>hether any external visitors are used</w:t>
      </w:r>
      <w:r>
        <w:rPr>
          <w:rFonts w:ascii="Arial" w:hAnsi="Arial" w:cs="Arial"/>
          <w:highlight w:val="yellow"/>
        </w:rPr>
        <w:t>, and that they are not used to enhance rather than replace teaching</w:t>
      </w:r>
      <w:r w:rsidRPr="00CD6CC9">
        <w:rPr>
          <w:rFonts w:ascii="Arial" w:hAnsi="Arial" w:cs="Arial"/>
          <w:highlight w:val="yellow"/>
        </w:rPr>
        <w:t>]</w:t>
      </w:r>
    </w:p>
    <w:p w14:paraId="1C92E705" w14:textId="77777777" w:rsidR="00E36822" w:rsidRPr="00116403" w:rsidRDefault="00E36822" w:rsidP="00E36822">
      <w:pPr>
        <w:rPr>
          <w:rFonts w:ascii="Arial" w:hAnsi="Arial" w:cs="Arial"/>
        </w:rPr>
      </w:pPr>
      <w:r>
        <w:rPr>
          <w:rFonts w:ascii="Arial" w:hAnsi="Arial" w:cs="Arial"/>
        </w:rPr>
        <w:t>RSE</w:t>
      </w:r>
      <w:r w:rsidRPr="00116403">
        <w:rPr>
          <w:rFonts w:ascii="Arial" w:hAnsi="Arial" w:cs="Arial"/>
        </w:rPr>
        <w:t xml:space="preserve"> will </w:t>
      </w:r>
      <w:r>
        <w:rPr>
          <w:rFonts w:ascii="Arial" w:hAnsi="Arial" w:cs="Arial"/>
        </w:rPr>
        <w:t xml:space="preserve">be taught in an inclusive way to </w:t>
      </w:r>
      <w:r w:rsidRPr="00116403">
        <w:rPr>
          <w:rFonts w:ascii="Arial" w:hAnsi="Arial" w:cs="Arial"/>
        </w:rPr>
        <w:t>foster good relations between pupils, tackle all types of prejudice – including homophobia – and promote understanding and respect.</w:t>
      </w:r>
    </w:p>
    <w:p w14:paraId="4AB56D0D" w14:textId="77777777" w:rsidR="00E36822" w:rsidRDefault="00E36822" w:rsidP="00E36822">
      <w:pPr>
        <w:rPr>
          <w:rFonts w:ascii="Arial" w:hAnsi="Arial" w:cs="Arial"/>
        </w:rPr>
      </w:pPr>
      <w:r>
        <w:rPr>
          <w:rFonts w:ascii="Arial" w:hAnsi="Arial" w:cs="Arial"/>
        </w:rPr>
        <w:t>RSE</w:t>
      </w:r>
      <w:r w:rsidRPr="00A336D5">
        <w:rPr>
          <w:rFonts w:ascii="Arial" w:hAnsi="Arial" w:cs="Arial"/>
        </w:rPr>
        <w:t xml:space="preserve"> is monitored and evaluated through </w:t>
      </w:r>
      <w:r w:rsidRPr="00A336D5">
        <w:rPr>
          <w:rFonts w:ascii="Arial" w:hAnsi="Arial" w:cs="Arial"/>
          <w:highlight w:val="yellow"/>
        </w:rPr>
        <w:t>[…]</w:t>
      </w:r>
    </w:p>
    <w:p w14:paraId="2D257B71" w14:textId="77777777" w:rsidR="00E36822" w:rsidRDefault="00E36822" w:rsidP="00E36822">
      <w:pPr>
        <w:rPr>
          <w:rFonts w:ascii="Arial" w:hAnsi="Arial" w:cs="Arial"/>
        </w:rPr>
      </w:pPr>
      <w:r>
        <w:rPr>
          <w:rFonts w:ascii="Arial" w:hAnsi="Arial" w:cs="Arial"/>
        </w:rPr>
        <w:t xml:space="preserve">Teachers are supported to deliver RSE through </w:t>
      </w:r>
      <w:r w:rsidRPr="00116403">
        <w:rPr>
          <w:rFonts w:ascii="Arial" w:hAnsi="Arial" w:cs="Arial"/>
          <w:highlight w:val="yellow"/>
        </w:rPr>
        <w:t>[…]</w:t>
      </w:r>
    </w:p>
    <w:p w14:paraId="11FD7139" w14:textId="77777777" w:rsidR="00E36822" w:rsidRDefault="00E36822" w:rsidP="00E36822">
      <w:pPr>
        <w:rPr>
          <w:rFonts w:ascii="Arial" w:hAnsi="Arial" w:cs="Arial"/>
          <w:i/>
          <w:iCs/>
        </w:rPr>
      </w:pPr>
    </w:p>
    <w:p w14:paraId="42ED6303" w14:textId="77777777" w:rsidR="00E36822" w:rsidRDefault="00E36822" w:rsidP="00E36822">
      <w:pPr>
        <w:rPr>
          <w:rFonts w:ascii="Arial" w:hAnsi="Arial" w:cs="Arial"/>
          <w:i/>
          <w:iCs/>
        </w:rPr>
      </w:pPr>
      <w:r w:rsidRPr="00653DF6">
        <w:rPr>
          <w:rFonts w:ascii="Arial" w:hAnsi="Arial" w:cs="Arial"/>
          <w:i/>
          <w:iCs/>
        </w:rPr>
        <w:t>Science curriculum</w:t>
      </w:r>
    </w:p>
    <w:p w14:paraId="27FC329F" w14:textId="77777777" w:rsidR="00E36822" w:rsidRDefault="00E36822" w:rsidP="00E36822">
      <w:pPr>
        <w:rPr>
          <w:rFonts w:ascii="Arial" w:hAnsi="Arial" w:cs="Arial"/>
        </w:rPr>
      </w:pPr>
      <w:r>
        <w:rPr>
          <w:rFonts w:ascii="Arial" w:hAnsi="Arial" w:cs="Arial"/>
        </w:rPr>
        <w:t xml:space="preserve">National Curriculum science in secondary school covers reproduction in humans including the structure and function of the male and female reproductive systems, menstrual cycle, gametes, fertilisation, gestation and birth which includes the effect of maternal lifestyle on the foetus through the placenta. </w:t>
      </w:r>
    </w:p>
    <w:p w14:paraId="112ED103" w14:textId="77777777" w:rsidR="00E36822" w:rsidRPr="007F5BFC" w:rsidRDefault="00E36822" w:rsidP="00E36822">
      <w:pPr>
        <w:rPr>
          <w:rFonts w:ascii="Arial" w:hAnsi="Arial" w:cs="Arial"/>
        </w:rPr>
      </w:pPr>
    </w:p>
    <w:p w14:paraId="4C150BFF" w14:textId="77777777" w:rsidR="00E36822" w:rsidRDefault="00E36822" w:rsidP="00E36822">
      <w:pPr>
        <w:rPr>
          <w:rFonts w:ascii="Arial" w:hAnsi="Arial" w:cs="Arial"/>
          <w:b/>
          <w:bCs/>
        </w:rPr>
      </w:pPr>
      <w:r>
        <w:rPr>
          <w:rFonts w:ascii="Arial" w:hAnsi="Arial" w:cs="Arial"/>
          <w:b/>
          <w:bCs/>
        </w:rPr>
        <w:t xml:space="preserve">4. Accessibility </w:t>
      </w:r>
    </w:p>
    <w:p w14:paraId="5E7A2068" w14:textId="77777777" w:rsidR="00E36822" w:rsidRPr="007A6225" w:rsidRDefault="00E36822" w:rsidP="00E36822">
      <w:pPr>
        <w:rPr>
          <w:rFonts w:ascii="Arial" w:hAnsi="Arial" w:cs="Arial"/>
        </w:rPr>
      </w:pPr>
      <w:r>
        <w:rPr>
          <w:rFonts w:ascii="Arial" w:hAnsi="Arial" w:cs="Arial"/>
        </w:rPr>
        <w:t xml:space="preserve">RSE is particularly important for pupils with special education needs and disabilities (SEND). There may be a need to tailor content and teaching to meet the specific needs of pupils at different developmental stages. We will ensure that the subject content is accessible for all pupils </w:t>
      </w:r>
      <w:r w:rsidRPr="00653DF6">
        <w:rPr>
          <w:rFonts w:ascii="Arial" w:hAnsi="Arial" w:cs="Arial"/>
          <w:highlight w:val="yellow"/>
        </w:rPr>
        <w:t>[through…]</w:t>
      </w:r>
    </w:p>
    <w:p w14:paraId="0E3A2FC5" w14:textId="77777777" w:rsidR="00E36822" w:rsidRDefault="00E36822" w:rsidP="00E36822">
      <w:pPr>
        <w:rPr>
          <w:rFonts w:ascii="Arial" w:hAnsi="Arial" w:cs="Arial"/>
          <w:b/>
          <w:bCs/>
        </w:rPr>
      </w:pPr>
    </w:p>
    <w:p w14:paraId="3C879236" w14:textId="77777777" w:rsidR="009D45C5" w:rsidRDefault="009D45C5" w:rsidP="009D45C5">
      <w:pPr>
        <w:rPr>
          <w:rFonts w:ascii="Arial" w:hAnsi="Arial" w:cs="Arial"/>
          <w:b/>
          <w:bCs/>
        </w:rPr>
      </w:pPr>
      <w:r>
        <w:rPr>
          <w:rFonts w:ascii="Arial" w:hAnsi="Arial" w:cs="Arial"/>
          <w:b/>
          <w:bCs/>
        </w:rPr>
        <w:t>5. The role of parents/carers</w:t>
      </w:r>
    </w:p>
    <w:p w14:paraId="0F50CCA5" w14:textId="77777777" w:rsidR="009D45C5" w:rsidRDefault="009D45C5" w:rsidP="009D45C5">
      <w:pPr>
        <w:rPr>
          <w:rFonts w:ascii="Arial" w:hAnsi="Arial" w:cs="Arial"/>
        </w:rPr>
      </w:pPr>
      <w:r>
        <w:rPr>
          <w:rFonts w:ascii="Arial" w:hAnsi="Arial" w:cs="Arial"/>
        </w:rPr>
        <w:t>We wish to build a positive and supportive relationship with parents/carers through mutual understanding, trust and co-operation. We will therefore:</w:t>
      </w:r>
    </w:p>
    <w:p w14:paraId="29C7A0DF" w14:textId="3162C01C" w:rsidR="009D45C5" w:rsidRPr="00496EBA" w:rsidRDefault="009D45C5" w:rsidP="009D45C5">
      <w:pPr>
        <w:pStyle w:val="ListParagraph"/>
        <w:numPr>
          <w:ilvl w:val="0"/>
          <w:numId w:val="5"/>
        </w:numPr>
        <w:rPr>
          <w:rFonts w:ascii="Arial" w:hAnsi="Arial" w:cs="Arial"/>
        </w:rPr>
      </w:pPr>
      <w:r>
        <w:rPr>
          <w:rFonts w:ascii="Arial" w:hAnsi="Arial" w:cs="Arial"/>
        </w:rPr>
        <w:t>[</w:t>
      </w:r>
      <w:r w:rsidRPr="00496EBA">
        <w:rPr>
          <w:rFonts w:ascii="Arial" w:hAnsi="Arial" w:cs="Arial"/>
          <w:highlight w:val="yellow"/>
        </w:rPr>
        <w:t>list what the school will do e.g. informing when certain topics will be taught, inviting parents</w:t>
      </w:r>
      <w:r>
        <w:rPr>
          <w:rFonts w:ascii="Arial" w:hAnsi="Arial" w:cs="Arial"/>
          <w:highlight w:val="yellow"/>
        </w:rPr>
        <w:t>/carers</w:t>
      </w:r>
      <w:r w:rsidRPr="00496EBA">
        <w:rPr>
          <w:rFonts w:ascii="Arial" w:hAnsi="Arial" w:cs="Arial"/>
          <w:highlight w:val="yellow"/>
        </w:rPr>
        <w:t xml:space="preserve"> to view the resources used, answer queries on what </w:t>
      </w:r>
      <w:r>
        <w:rPr>
          <w:rFonts w:ascii="Arial" w:hAnsi="Arial" w:cs="Arial"/>
          <w:highlight w:val="yellow"/>
        </w:rPr>
        <w:t>students</w:t>
      </w:r>
      <w:r w:rsidRPr="00496EBA">
        <w:rPr>
          <w:rFonts w:ascii="Arial" w:hAnsi="Arial" w:cs="Arial"/>
          <w:highlight w:val="yellow"/>
        </w:rPr>
        <w:t xml:space="preserve"> will be learning, encourage parents</w:t>
      </w:r>
      <w:r>
        <w:rPr>
          <w:rFonts w:ascii="Arial" w:hAnsi="Arial" w:cs="Arial"/>
          <w:highlight w:val="yellow"/>
        </w:rPr>
        <w:t>/carers</w:t>
      </w:r>
      <w:r w:rsidRPr="00496EBA">
        <w:rPr>
          <w:rFonts w:ascii="Arial" w:hAnsi="Arial" w:cs="Arial"/>
          <w:highlight w:val="yellow"/>
        </w:rPr>
        <w:t xml:space="preserve"> to be involved in reviewing the school policy…</w:t>
      </w:r>
      <w:r>
        <w:rPr>
          <w:rFonts w:ascii="Arial" w:hAnsi="Arial" w:cs="Arial"/>
        </w:rPr>
        <w:t>]</w:t>
      </w:r>
    </w:p>
    <w:p w14:paraId="42B39A9E" w14:textId="77777777" w:rsidR="009D45C5" w:rsidRDefault="009D45C5" w:rsidP="00E36822">
      <w:pPr>
        <w:rPr>
          <w:rFonts w:ascii="Arial" w:hAnsi="Arial" w:cs="Arial"/>
        </w:rPr>
      </w:pPr>
    </w:p>
    <w:p w14:paraId="41F28122" w14:textId="77777777" w:rsidR="009D45C5" w:rsidRDefault="009D45C5" w:rsidP="00E36822">
      <w:pPr>
        <w:rPr>
          <w:rFonts w:ascii="Arial" w:hAnsi="Arial" w:cs="Arial"/>
        </w:rPr>
      </w:pPr>
    </w:p>
    <w:p w14:paraId="6D93A6CE" w14:textId="7F3F7EDB" w:rsidR="00E36822" w:rsidRDefault="00E36822" w:rsidP="00E36822">
      <w:pPr>
        <w:rPr>
          <w:rFonts w:ascii="Arial" w:hAnsi="Arial" w:cs="Arial"/>
        </w:rPr>
      </w:pPr>
      <w:r>
        <w:rPr>
          <w:rFonts w:ascii="Arial" w:hAnsi="Arial" w:cs="Arial"/>
        </w:rPr>
        <w:t>Parents/carers have the right to request that their child be withdrawn from some or all of sex education delivered as part of statutory RSE up to and until three terms before the child turns 16.</w:t>
      </w:r>
    </w:p>
    <w:p w14:paraId="547328B1" w14:textId="77777777" w:rsidR="00E36822" w:rsidRDefault="00E36822" w:rsidP="00E36822">
      <w:pPr>
        <w:rPr>
          <w:rFonts w:ascii="Arial" w:hAnsi="Arial" w:cs="Arial"/>
        </w:rPr>
      </w:pPr>
      <w:r>
        <w:rPr>
          <w:rFonts w:ascii="Arial" w:hAnsi="Arial" w:cs="Arial"/>
        </w:rPr>
        <w:t xml:space="preserve">Parents/carers who wish to withdraw their child from sex education should discuss this request with </w:t>
      </w:r>
      <w:r w:rsidRPr="003D485E">
        <w:rPr>
          <w:rFonts w:ascii="Arial" w:hAnsi="Arial" w:cs="Arial"/>
          <w:highlight w:val="yellow"/>
        </w:rPr>
        <w:t>[…]</w:t>
      </w:r>
    </w:p>
    <w:p w14:paraId="60ECF1E1" w14:textId="3470D048" w:rsidR="00E36822" w:rsidRDefault="00E36822" w:rsidP="00E36822">
      <w:pPr>
        <w:rPr>
          <w:rFonts w:ascii="Arial" w:hAnsi="Arial" w:cs="Arial"/>
        </w:rPr>
      </w:pPr>
      <w:r>
        <w:rPr>
          <w:rFonts w:ascii="Arial" w:hAnsi="Arial" w:cs="Arial"/>
        </w:rPr>
        <w:t xml:space="preserve">There is no right to withdraw from Relationships Education. </w:t>
      </w:r>
    </w:p>
    <w:p w14:paraId="66F33963" w14:textId="77777777" w:rsidR="009D45C5" w:rsidRDefault="009D45C5" w:rsidP="00E36822">
      <w:pPr>
        <w:rPr>
          <w:rFonts w:ascii="Arial" w:hAnsi="Arial" w:cs="Arial"/>
        </w:rPr>
      </w:pPr>
    </w:p>
    <w:p w14:paraId="7D082DEF" w14:textId="77777777" w:rsidR="00E36822" w:rsidRPr="00C45C8A" w:rsidRDefault="00E36822" w:rsidP="00E36822">
      <w:pPr>
        <w:rPr>
          <w:rFonts w:ascii="Arial" w:hAnsi="Arial" w:cs="Arial"/>
          <w:b/>
          <w:bCs/>
        </w:rPr>
      </w:pPr>
      <w:r>
        <w:rPr>
          <w:rFonts w:ascii="Arial" w:hAnsi="Arial" w:cs="Arial"/>
          <w:b/>
          <w:bCs/>
        </w:rPr>
        <w:t>6. Our statutory duties</w:t>
      </w:r>
    </w:p>
    <w:p w14:paraId="3DD72AED" w14:textId="2BDC87A0" w:rsidR="00E36822" w:rsidRDefault="00E36822" w:rsidP="00E36822">
      <w:pPr>
        <w:rPr>
          <w:rFonts w:ascii="Arial" w:hAnsi="Arial" w:cs="Arial"/>
        </w:rPr>
      </w:pPr>
      <w:r>
        <w:rPr>
          <w:rFonts w:ascii="Arial" w:hAnsi="Arial" w:cs="Arial"/>
        </w:rPr>
        <w:t xml:space="preserve">It is </w:t>
      </w:r>
      <w:hyperlink r:id="rId9" w:history="1">
        <w:r w:rsidR="009D45C5" w:rsidRPr="00496EBA">
          <w:rPr>
            <w:rStyle w:val="Hyperlink"/>
            <w:rFonts w:ascii="Arial" w:hAnsi="Arial" w:cs="Arial"/>
          </w:rPr>
          <w:t>compulsory</w:t>
        </w:r>
      </w:hyperlink>
      <w:r>
        <w:rPr>
          <w:rFonts w:ascii="Arial" w:hAnsi="Arial" w:cs="Arial"/>
        </w:rPr>
        <w:t xml:space="preserve"> for all secondary schools to teach RSE from September 2020.</w:t>
      </w:r>
    </w:p>
    <w:p w14:paraId="31605F79" w14:textId="77777777" w:rsidR="009D45C5" w:rsidRDefault="009D45C5" w:rsidP="009D45C5">
      <w:pPr>
        <w:rPr>
          <w:rFonts w:ascii="Arial" w:hAnsi="Arial" w:cs="Arial"/>
        </w:rPr>
      </w:pPr>
      <w:r>
        <w:rPr>
          <w:rFonts w:ascii="Arial" w:hAnsi="Arial" w:cs="Arial"/>
        </w:rPr>
        <w:t xml:space="preserve">Relationships Education forms part of our Personal, Social, Health and Economic (PSHE) Education, and is a key aspect of our role as a Healthy School which we are currently </w:t>
      </w:r>
      <w:r w:rsidRPr="00496EBA">
        <w:rPr>
          <w:rFonts w:ascii="Arial" w:hAnsi="Arial" w:cs="Arial"/>
          <w:highlight w:val="yellow"/>
        </w:rPr>
        <w:t>[working towards/Bronze award/Silver award/Gold award]</w:t>
      </w:r>
      <w:r>
        <w:rPr>
          <w:rFonts w:ascii="Arial" w:hAnsi="Arial" w:cs="Arial"/>
        </w:rPr>
        <w:t xml:space="preserve">. </w:t>
      </w:r>
    </w:p>
    <w:p w14:paraId="02969EBE" w14:textId="199FA684" w:rsidR="00E36822" w:rsidRDefault="00D4405A" w:rsidP="00E36822">
      <w:pPr>
        <w:rPr>
          <w:rFonts w:ascii="Arial" w:hAnsi="Arial" w:cs="Arial"/>
        </w:rPr>
      </w:pPr>
      <w:r>
        <w:rPr>
          <w:rFonts w:ascii="Arial" w:hAnsi="Arial" w:cs="Arial"/>
        </w:rPr>
        <w:t xml:space="preserve">We are committed to being an inclusive school, and </w:t>
      </w:r>
      <w:r w:rsidRPr="00E0463A">
        <w:rPr>
          <w:rFonts w:ascii="Arial" w:hAnsi="Arial" w:cs="Arial"/>
        </w:rPr>
        <w:t xml:space="preserve">comply with </w:t>
      </w:r>
      <w:r>
        <w:rPr>
          <w:rFonts w:ascii="Arial" w:hAnsi="Arial" w:cs="Arial"/>
        </w:rPr>
        <w:t xml:space="preserve">the </w:t>
      </w:r>
      <w:bookmarkStart w:id="0" w:name="_GoBack"/>
      <w:bookmarkEnd w:id="0"/>
      <w:r w:rsidR="00E36822" w:rsidRPr="00E0463A">
        <w:rPr>
          <w:rFonts w:ascii="Arial" w:hAnsi="Arial" w:cs="Arial"/>
        </w:rPr>
        <w:t xml:space="preserve">relevant requirements of </w:t>
      </w:r>
      <w:hyperlink r:id="rId10" w:history="1">
        <w:r w:rsidR="00E36822" w:rsidRPr="00E0463A">
          <w:rPr>
            <w:rStyle w:val="Hyperlink"/>
            <w:rFonts w:ascii="Arial" w:hAnsi="Arial" w:cs="Arial"/>
          </w:rPr>
          <w:t>The Equality Act 2010</w:t>
        </w:r>
      </w:hyperlink>
      <w:r w:rsidR="00E36822" w:rsidRPr="00E0463A">
        <w:rPr>
          <w:rFonts w:ascii="Arial" w:hAnsi="Arial" w:cs="Arial"/>
        </w:rPr>
        <w:t xml:space="preserve">, with particular attention to the </w:t>
      </w:r>
      <w:hyperlink r:id="rId11" w:anchor="public-sector-equality-duty" w:history="1">
        <w:r w:rsidR="00E36822" w:rsidRPr="00E0463A">
          <w:rPr>
            <w:rStyle w:val="Hyperlink"/>
            <w:rFonts w:ascii="Arial" w:hAnsi="Arial" w:cs="Arial"/>
          </w:rPr>
          <w:t>public sector Equality Duty</w:t>
        </w:r>
      </w:hyperlink>
      <w:r w:rsidR="00E36822" w:rsidRPr="00E0463A">
        <w:rPr>
          <w:rFonts w:ascii="Arial" w:hAnsi="Arial" w:cs="Arial"/>
        </w:rPr>
        <w:t>. Under the provisions of the Equality Act, schools must not unlawfully discriminate against pupils because of their age, sex, race, disability, religion or belief, gender reassignment, pregnancy or maternity, marriage or civil partnership or sexual orientation (collectively known as the protected characteristics).</w:t>
      </w:r>
    </w:p>
    <w:p w14:paraId="67548DED" w14:textId="77777777" w:rsidR="00E36822" w:rsidRDefault="00E36822" w:rsidP="00E36822">
      <w:pPr>
        <w:rPr>
          <w:rFonts w:ascii="NSPCC-Regular" w:hAnsi="NSPCC-Regular" w:cs="Arial"/>
          <w:color w:val="525455"/>
          <w:sz w:val="23"/>
          <w:szCs w:val="23"/>
        </w:rPr>
      </w:pPr>
      <w:r>
        <w:rPr>
          <w:rFonts w:ascii="Arial" w:hAnsi="Arial" w:cs="Arial"/>
        </w:rPr>
        <w:t>RSE helps children understand the difference between safe and abusive relationships and equips them with the skills to get help if they need it. Schools have a legal duty to safeguard and promote the welfare of children and young people under the age of 18 in schools and colleges</w:t>
      </w:r>
      <w:r w:rsidRPr="00161528">
        <w:rPr>
          <w:rFonts w:ascii="Arial" w:hAnsi="Arial" w:cs="Arial"/>
        </w:rPr>
        <w:t xml:space="preserve"> (</w:t>
      </w:r>
      <w:hyperlink r:id="rId12" w:tgtFrame="_blank" w:tooltip="Keeping children safe in education guidance" w:history="1">
        <w:r w:rsidRPr="00161528">
          <w:rPr>
            <w:rStyle w:val="Hyperlink"/>
            <w:rFonts w:ascii="Arial" w:hAnsi="Arial" w:cs="Arial"/>
          </w:rPr>
          <w:t>Keeping children safe in education</w:t>
        </w:r>
      </w:hyperlink>
      <w:r w:rsidRPr="00161528">
        <w:rPr>
          <w:rFonts w:ascii="Arial" w:hAnsi="Arial" w:cs="Arial"/>
          <w:color w:val="525455"/>
        </w:rPr>
        <w:t>)</w:t>
      </w:r>
    </w:p>
    <w:p w14:paraId="5AF4E459" w14:textId="0602E1AE" w:rsidR="009D45C5" w:rsidRDefault="009D45C5" w:rsidP="009D45C5">
      <w:pPr>
        <w:rPr>
          <w:rFonts w:ascii="Arial" w:hAnsi="Arial" w:cs="Arial"/>
        </w:rPr>
      </w:pPr>
      <w:r>
        <w:rPr>
          <w:rFonts w:ascii="Arial" w:hAnsi="Arial" w:cs="Arial"/>
        </w:rPr>
        <w:t>RSE also contributes to our policies on confidentiality, bullying, emotional wellbeing and equalities.</w:t>
      </w:r>
    </w:p>
    <w:p w14:paraId="31D5B210" w14:textId="77777777" w:rsidR="00E36822" w:rsidRDefault="00E36822" w:rsidP="00E36822">
      <w:pPr>
        <w:rPr>
          <w:rFonts w:ascii="Arial" w:hAnsi="Arial" w:cs="Arial"/>
        </w:rPr>
      </w:pPr>
    </w:p>
    <w:p w14:paraId="6E1CEF0B" w14:textId="77777777" w:rsidR="00E36822" w:rsidRDefault="00E36822" w:rsidP="00E36822">
      <w:pPr>
        <w:rPr>
          <w:rFonts w:ascii="Arial" w:hAnsi="Arial" w:cs="Arial"/>
          <w:b/>
          <w:bCs/>
        </w:rPr>
      </w:pPr>
      <w:r>
        <w:rPr>
          <w:rFonts w:ascii="Arial" w:hAnsi="Arial" w:cs="Arial"/>
          <w:b/>
          <w:bCs/>
        </w:rPr>
        <w:t xml:space="preserve">7. </w:t>
      </w:r>
      <w:r w:rsidRPr="00C94B8C">
        <w:rPr>
          <w:rFonts w:ascii="Arial" w:hAnsi="Arial" w:cs="Arial"/>
          <w:b/>
          <w:bCs/>
        </w:rPr>
        <w:t>How this policy was produced</w:t>
      </w:r>
    </w:p>
    <w:p w14:paraId="670B7407" w14:textId="77777777" w:rsidR="00E36822" w:rsidRDefault="00E36822" w:rsidP="00E36822">
      <w:pPr>
        <w:rPr>
          <w:rFonts w:ascii="Arial" w:hAnsi="Arial" w:cs="Arial"/>
        </w:rPr>
      </w:pPr>
      <w:r>
        <w:rPr>
          <w:rFonts w:ascii="Arial" w:hAnsi="Arial" w:cs="Arial"/>
        </w:rPr>
        <w:t>This policy was produced by:</w:t>
      </w:r>
    </w:p>
    <w:p w14:paraId="7E147023" w14:textId="75626CC9" w:rsidR="009D45C5" w:rsidRDefault="009D45C5" w:rsidP="009D45C5">
      <w:pPr>
        <w:pStyle w:val="ListParagraph"/>
        <w:numPr>
          <w:ilvl w:val="0"/>
          <w:numId w:val="2"/>
        </w:numPr>
        <w:rPr>
          <w:rFonts w:ascii="Arial" w:hAnsi="Arial" w:cs="Arial"/>
          <w:highlight w:val="yellow"/>
        </w:rPr>
      </w:pPr>
      <w:r w:rsidRPr="00007B10">
        <w:rPr>
          <w:rFonts w:ascii="Arial" w:hAnsi="Arial" w:cs="Arial"/>
          <w:highlight w:val="yellow"/>
        </w:rPr>
        <w:t xml:space="preserve">[Insert how </w:t>
      </w:r>
      <w:r>
        <w:rPr>
          <w:rFonts w:ascii="Arial" w:hAnsi="Arial" w:cs="Arial"/>
          <w:highlight w:val="yellow"/>
        </w:rPr>
        <w:t>student</w:t>
      </w:r>
      <w:r w:rsidRPr="00007B10">
        <w:rPr>
          <w:rFonts w:ascii="Arial" w:hAnsi="Arial" w:cs="Arial"/>
          <w:highlight w:val="yellow"/>
        </w:rPr>
        <w:t>s</w:t>
      </w:r>
      <w:r>
        <w:rPr>
          <w:rFonts w:ascii="Arial" w:hAnsi="Arial" w:cs="Arial"/>
          <w:highlight w:val="yellow"/>
        </w:rPr>
        <w:t>’ needs have been assessed and understood e.g. surveys, consultation activities]</w:t>
      </w:r>
    </w:p>
    <w:p w14:paraId="711EEAF1" w14:textId="77777777" w:rsidR="009D45C5" w:rsidRDefault="009D45C5" w:rsidP="009D45C5">
      <w:pPr>
        <w:pStyle w:val="ListParagraph"/>
        <w:numPr>
          <w:ilvl w:val="0"/>
          <w:numId w:val="2"/>
        </w:numPr>
        <w:rPr>
          <w:rFonts w:ascii="Arial" w:hAnsi="Arial" w:cs="Arial"/>
          <w:highlight w:val="yellow"/>
        </w:rPr>
      </w:pPr>
      <w:r>
        <w:rPr>
          <w:rFonts w:ascii="Arial" w:hAnsi="Arial" w:cs="Arial"/>
          <w:highlight w:val="yellow"/>
        </w:rPr>
        <w:t>[Insert how parents/carers, staff and governors have been engaged]</w:t>
      </w:r>
    </w:p>
    <w:p w14:paraId="4A28260C" w14:textId="77777777" w:rsidR="009D45C5" w:rsidRDefault="009D45C5" w:rsidP="009D45C5">
      <w:pPr>
        <w:pStyle w:val="ListParagraph"/>
        <w:numPr>
          <w:ilvl w:val="0"/>
          <w:numId w:val="2"/>
        </w:numPr>
        <w:rPr>
          <w:rFonts w:ascii="Arial" w:hAnsi="Arial" w:cs="Arial"/>
          <w:highlight w:val="yellow"/>
        </w:rPr>
      </w:pPr>
      <w:r>
        <w:rPr>
          <w:rFonts w:ascii="Arial" w:hAnsi="Arial" w:cs="Arial"/>
          <w:highlight w:val="yellow"/>
        </w:rPr>
        <w:t xml:space="preserve">[Where relevant, insert if any local faith groups or diocesan boards have been engaged] </w:t>
      </w:r>
    </w:p>
    <w:p w14:paraId="23945A48" w14:textId="77777777" w:rsidR="00E36822" w:rsidRPr="00C8319C" w:rsidRDefault="00E36822" w:rsidP="00E36822">
      <w:pPr>
        <w:rPr>
          <w:rFonts w:ascii="Arial" w:hAnsi="Arial" w:cs="Arial"/>
        </w:rPr>
      </w:pPr>
    </w:p>
    <w:p w14:paraId="0D58436B" w14:textId="77777777" w:rsidR="00E36822" w:rsidRPr="00007B10" w:rsidRDefault="00E36822" w:rsidP="00E36822">
      <w:pPr>
        <w:rPr>
          <w:rFonts w:ascii="Arial" w:hAnsi="Arial" w:cs="Arial"/>
        </w:rPr>
      </w:pPr>
      <w:r w:rsidRPr="00007B10">
        <w:rPr>
          <w:rFonts w:ascii="Arial" w:hAnsi="Arial" w:cs="Arial"/>
        </w:rPr>
        <w:t>This policy will continue to be reviewed and updated by:</w:t>
      </w:r>
    </w:p>
    <w:p w14:paraId="0E1F0962" w14:textId="2BA85ACC" w:rsidR="00E36822" w:rsidRPr="00007B10" w:rsidRDefault="00E36822" w:rsidP="00E36822">
      <w:pPr>
        <w:pStyle w:val="ListParagraph"/>
        <w:numPr>
          <w:ilvl w:val="0"/>
          <w:numId w:val="3"/>
        </w:numPr>
        <w:rPr>
          <w:rFonts w:ascii="Arial" w:hAnsi="Arial" w:cs="Arial"/>
          <w:highlight w:val="yellow"/>
        </w:rPr>
      </w:pPr>
      <w:r w:rsidRPr="00007B10">
        <w:rPr>
          <w:rFonts w:ascii="Arial" w:hAnsi="Arial" w:cs="Arial"/>
          <w:highlight w:val="yellow"/>
        </w:rPr>
        <w:t xml:space="preserve">[How will the school continue to </w:t>
      </w:r>
      <w:r>
        <w:rPr>
          <w:rFonts w:ascii="Arial" w:hAnsi="Arial" w:cs="Arial"/>
          <w:highlight w:val="yellow"/>
        </w:rPr>
        <w:t>communicate with</w:t>
      </w:r>
      <w:r w:rsidRPr="00007B10">
        <w:rPr>
          <w:rFonts w:ascii="Arial" w:hAnsi="Arial" w:cs="Arial"/>
          <w:highlight w:val="yellow"/>
        </w:rPr>
        <w:t xml:space="preserve"> parents/carers</w:t>
      </w:r>
      <w:r>
        <w:rPr>
          <w:rFonts w:ascii="Arial" w:hAnsi="Arial" w:cs="Arial"/>
          <w:highlight w:val="yellow"/>
        </w:rPr>
        <w:t xml:space="preserve"> and </w:t>
      </w:r>
      <w:r w:rsidR="009D45C5">
        <w:rPr>
          <w:rFonts w:ascii="Arial" w:hAnsi="Arial" w:cs="Arial"/>
          <w:highlight w:val="yellow"/>
        </w:rPr>
        <w:t>students</w:t>
      </w:r>
      <w:r w:rsidRPr="00007B10">
        <w:rPr>
          <w:rFonts w:ascii="Arial" w:hAnsi="Arial" w:cs="Arial"/>
          <w:highlight w:val="yellow"/>
        </w:rPr>
        <w:t>]</w:t>
      </w:r>
    </w:p>
    <w:p w14:paraId="57B7C034" w14:textId="77777777" w:rsidR="00E36822" w:rsidRDefault="00E36822" w:rsidP="00E36822"/>
    <w:p w14:paraId="268C0549" w14:textId="77777777" w:rsidR="00E36822" w:rsidRPr="00AE6883" w:rsidRDefault="00E36822" w:rsidP="00E36822">
      <w:pPr>
        <w:rPr>
          <w:rFonts w:ascii="Arial" w:hAnsi="Arial" w:cs="Arial"/>
          <w:highlight w:val="yellow"/>
        </w:rPr>
      </w:pPr>
    </w:p>
    <w:p w14:paraId="23936F7A" w14:textId="77777777" w:rsidR="00DC141F" w:rsidRDefault="00DC141F"/>
    <w:sectPr w:rsidR="00DC141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B06F" w14:textId="77777777" w:rsidR="00000000" w:rsidRDefault="00D4405A">
      <w:pPr>
        <w:spacing w:after="0" w:line="240" w:lineRule="auto"/>
      </w:pPr>
      <w:r>
        <w:separator/>
      </w:r>
    </w:p>
  </w:endnote>
  <w:endnote w:type="continuationSeparator" w:id="0">
    <w:p w14:paraId="455BEEBC" w14:textId="77777777" w:rsidR="00000000" w:rsidRDefault="00D4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PCC-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7786" w14:textId="77777777" w:rsidR="00496EBA" w:rsidRDefault="00D4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2266" w14:textId="77777777" w:rsidR="00496EBA" w:rsidRDefault="00D4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B527" w14:textId="77777777" w:rsidR="00496EBA" w:rsidRDefault="00D4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CEAC3" w14:textId="77777777" w:rsidR="00000000" w:rsidRDefault="00D4405A">
      <w:pPr>
        <w:spacing w:after="0" w:line="240" w:lineRule="auto"/>
      </w:pPr>
      <w:r>
        <w:separator/>
      </w:r>
    </w:p>
  </w:footnote>
  <w:footnote w:type="continuationSeparator" w:id="0">
    <w:p w14:paraId="5174D213" w14:textId="77777777" w:rsidR="00000000" w:rsidRDefault="00D4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6765" w14:textId="77777777" w:rsidR="00496EBA" w:rsidRDefault="00D4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992034"/>
      <w:docPartObj>
        <w:docPartGallery w:val="Watermarks"/>
        <w:docPartUnique/>
      </w:docPartObj>
    </w:sdtPr>
    <w:sdtEndPr/>
    <w:sdtContent>
      <w:p w14:paraId="6096A449" w14:textId="77777777" w:rsidR="00496EBA" w:rsidRDefault="00D4405A">
        <w:pPr>
          <w:pStyle w:val="Header"/>
        </w:pPr>
        <w:r>
          <w:rPr>
            <w:noProof/>
          </w:rPr>
          <w:pict w14:anchorId="64B37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3754" w14:textId="77777777" w:rsidR="00496EBA" w:rsidRDefault="00D4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6C3"/>
    <w:multiLevelType w:val="hybridMultilevel"/>
    <w:tmpl w:val="B4DE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A5A75"/>
    <w:multiLevelType w:val="hybridMultilevel"/>
    <w:tmpl w:val="C14A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D48E6"/>
    <w:multiLevelType w:val="hybridMultilevel"/>
    <w:tmpl w:val="E694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05696"/>
    <w:multiLevelType w:val="hybridMultilevel"/>
    <w:tmpl w:val="11D0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FF23B0"/>
    <w:multiLevelType w:val="hybridMultilevel"/>
    <w:tmpl w:val="AD78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22"/>
    <w:rsid w:val="009D45C5"/>
    <w:rsid w:val="00D4405A"/>
    <w:rsid w:val="00DC141F"/>
    <w:rsid w:val="00E3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766E7"/>
  <w15:chartTrackingRefBased/>
  <w15:docId w15:val="{8D89E2C3-9CE4-4A7D-9F43-8B5ED36D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822"/>
    <w:pPr>
      <w:ind w:left="720"/>
      <w:contextualSpacing/>
    </w:pPr>
  </w:style>
  <w:style w:type="character" w:styleId="Hyperlink">
    <w:name w:val="Hyperlink"/>
    <w:basedOn w:val="DefaultParagraphFont"/>
    <w:uiPriority w:val="99"/>
    <w:unhideWhenUsed/>
    <w:rsid w:val="00E36822"/>
    <w:rPr>
      <w:color w:val="0563C1" w:themeColor="hyperlink"/>
      <w:u w:val="single"/>
    </w:rPr>
  </w:style>
  <w:style w:type="table" w:styleId="TableGrid">
    <w:name w:val="Table Grid"/>
    <w:basedOn w:val="TableNormal"/>
    <w:uiPriority w:val="39"/>
    <w:rsid w:val="00E3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822"/>
  </w:style>
  <w:style w:type="paragraph" w:styleId="Footer">
    <w:name w:val="footer"/>
    <w:basedOn w:val="Normal"/>
    <w:link w:val="FooterChar"/>
    <w:uiPriority w:val="99"/>
    <w:unhideWhenUsed/>
    <w:rsid w:val="00E36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xeducationforum.org.uk/resources/advice-guidance/sre-policy-guidan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equality-act-2010-guida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uidance/equality-act-2010-guida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relationships-education-relationships-and-sex-education-rse-and-health-educ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Meinir</dc:creator>
  <cp:keywords/>
  <dc:description/>
  <cp:lastModifiedBy>Jones Meinir</cp:lastModifiedBy>
  <cp:revision>3</cp:revision>
  <dcterms:created xsi:type="dcterms:W3CDTF">2019-08-29T14:52:00Z</dcterms:created>
  <dcterms:modified xsi:type="dcterms:W3CDTF">2019-09-03T13:48:00Z</dcterms:modified>
</cp:coreProperties>
</file>